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4480"/>
        <w:gridCol w:w="5320"/>
      </w:tblGrid>
      <w:tr w:rsidR="00D03A88" w:rsidRPr="00D03A88" w:rsidTr="00D03A88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2.0</w:t>
            </w:r>
          </w:p>
        </w:tc>
      </w:tr>
      <w:tr w:rsidR="00D03A88" w:rsidRPr="00D03A88" w:rsidTr="00D03A88">
        <w:trPr>
          <w:trHeight w:val="810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показателях финансово-хозяйственной деятельности, об основных потребительских характеристиках регулируемых товаров и услуг, об инвестиционных программах регулируемой организации в сфере холодного водоснабжения</w:t>
            </w:r>
          </w:p>
        </w:tc>
      </w:tr>
      <w:tr w:rsidR="00D03A88" w:rsidRPr="00D03A88" w:rsidTr="00D03A88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A88" w:rsidRPr="00D03A88" w:rsidTr="00D03A88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D03A88" w:rsidRPr="00D03A88" w:rsidTr="00D03A88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A88" w:rsidRPr="00D03A88" w:rsidTr="00D03A88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D03A88" w:rsidRPr="00D03A88" w:rsidTr="00D03A88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A88" w:rsidRPr="00D03A88" w:rsidTr="00D03A88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D03A88" w:rsidRPr="00D03A88" w:rsidTr="00D03A88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A88" w:rsidRPr="00D03A88" w:rsidTr="00D03A88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 (год)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2021</w:t>
            </w:r>
            <w:bookmarkEnd w:id="4"/>
          </w:p>
        </w:tc>
      </w:tr>
      <w:tr w:rsidR="00D03A88" w:rsidRPr="00D03A88" w:rsidTr="00D03A88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A88" w:rsidRPr="00D03A88" w:rsidTr="00D03A88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3"/>
            <w:bookmarkStart w:id="9" w:name="RANGE!F21"/>
            <w:bookmarkEnd w:id="9"/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8"/>
          </w:p>
        </w:tc>
      </w:tr>
      <w:tr w:rsidR="00D03A88" w:rsidRPr="00D03A88" w:rsidTr="00D03A88">
        <w:trPr>
          <w:trHeight w:val="7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A88" w:rsidRPr="00D03A88" w:rsidTr="00D03A88">
        <w:trPr>
          <w:trHeight w:val="6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90900" cy="295275"/>
                      <wp:effectExtent l="0" t="0" r="0" b="0"/>
                      <wp:wrapNone/>
                      <wp:docPr id="10" name="Скругленный прямоугольник 1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500-00000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D03A88" w:rsidRDefault="00D03A88" w:rsidP="00D03A88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6" style="position:absolute;left:0;text-align:left;margin-left:0;margin-top:3.75pt;width:267pt;height:23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D03A88" w:rsidRDefault="00D03A88" w:rsidP="00D03A8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D03A88" w:rsidRPr="00D03A88" w:rsidTr="00D03A88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"ЦХО Масляногорского сельского поселения"</w:t>
            </w:r>
            <w:bookmarkEnd w:id="10"/>
          </w:p>
        </w:tc>
      </w:tr>
      <w:tr w:rsidR="00D03A88" w:rsidRPr="00D03A88" w:rsidTr="00D03A88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3814013727</w:t>
            </w:r>
            <w:bookmarkEnd w:id="11"/>
          </w:p>
        </w:tc>
      </w:tr>
      <w:tr w:rsidR="00D03A88" w:rsidRPr="00D03A88" w:rsidTr="00D03A88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D03A88" w:rsidRPr="00D03A88" w:rsidTr="00D03A88">
        <w:trPr>
          <w:trHeight w:val="1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A88" w:rsidRPr="00D03A88" w:rsidTr="00D03A88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Регулируемая организация осуществляет сдачу годового бухгалтерского баланса в налоговые органы</w:t>
            </w:r>
          </w:p>
        </w:tc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  <w:bookmarkEnd w:id="14"/>
          </w:p>
        </w:tc>
      </w:tr>
      <w:tr w:rsidR="00D03A88" w:rsidRPr="00D03A88" w:rsidTr="00D03A88">
        <w:trPr>
          <w:trHeight w:val="45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направления годового бухгалтерского баланса в налоговые органы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15" w:name="RANGE!F33"/>
            <w:r w:rsidRPr="00D03A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24.03.2022</w:t>
            </w:r>
            <w:bookmarkEnd w:id="15"/>
          </w:p>
        </w:tc>
      </w:tr>
      <w:tr w:rsidR="00D03A88" w:rsidRPr="00D03A88" w:rsidTr="00D03A88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A88" w:rsidRPr="00D03A88" w:rsidTr="00D03A88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Превышает ли выручка от регулируемой деятельности 80% совокупной выручки за отчетный год</w:t>
            </w:r>
          </w:p>
        </w:tc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5"/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6"/>
          </w:p>
        </w:tc>
      </w:tr>
      <w:tr w:rsidR="00D03A88" w:rsidRPr="00D03A88" w:rsidTr="00D03A88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A88" w:rsidRPr="00D03A88" w:rsidTr="00D03A88">
        <w:trPr>
          <w:trHeight w:val="45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Организация выполняет инвестиционную программу</w:t>
            </w:r>
          </w:p>
        </w:tc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7" w:name="RANGE!F37"/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7"/>
          </w:p>
        </w:tc>
      </w:tr>
      <w:tr w:rsidR="00D03A88" w:rsidRPr="00D03A88" w:rsidTr="00D03A88">
        <w:trPr>
          <w:trHeight w:val="1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A88" w:rsidRPr="00D03A88" w:rsidTr="00D03A88">
        <w:trPr>
          <w:trHeight w:val="58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8" w:name="RANGE!F40"/>
            <w:bookmarkStart w:id="19" w:name="RANGE!F38"/>
            <w:bookmarkEnd w:id="19"/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665366, Иркутская область, Зиминский район, с.Масляногорск, ул.Коммунаров, д.37, в.1</w:t>
            </w:r>
            <w:bookmarkEnd w:id="18"/>
          </w:p>
        </w:tc>
      </w:tr>
      <w:tr w:rsidR="00D03A88" w:rsidRPr="00D03A88" w:rsidTr="00D03A88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0" w:name="RANGE!F41"/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Ерошкова Евгения Сергеевна</w:t>
            </w:r>
            <w:bookmarkEnd w:id="20"/>
          </w:p>
        </w:tc>
      </w:tr>
      <w:tr w:rsidR="00D03A88" w:rsidRPr="00D03A88" w:rsidTr="00D03A88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A88" w:rsidRPr="00D03A88" w:rsidTr="00D03A88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 за составление формы</w:t>
            </w:r>
          </w:p>
        </w:tc>
      </w:tr>
      <w:tr w:rsidR="00D03A88" w:rsidRPr="00D03A88" w:rsidTr="00D03A88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1" w:name="RANGE!F44:F47"/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Ерошкова Евгения Сергеевна</w:t>
            </w:r>
            <w:bookmarkEnd w:id="21"/>
          </w:p>
        </w:tc>
      </w:tr>
      <w:tr w:rsidR="00D03A88" w:rsidRPr="00D03A88" w:rsidTr="00D03A88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D03A88" w:rsidRPr="00D03A88" w:rsidTr="00D03A88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89041152417</w:t>
            </w:r>
          </w:p>
        </w:tc>
      </w:tr>
      <w:tr w:rsidR="00D03A88" w:rsidRPr="00D03A88" w:rsidTr="00D03A88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admmaslyanogorskmo@mail.ru</w:t>
            </w:r>
          </w:p>
        </w:tc>
      </w:tr>
    </w:tbl>
    <w:p w:rsidR="000E6293" w:rsidRDefault="000E6293"/>
    <w:p w:rsidR="00D03A88" w:rsidRDefault="00D03A88"/>
    <w:p w:rsidR="00D03A88" w:rsidRDefault="00D03A88"/>
    <w:p w:rsidR="00D03A88" w:rsidRDefault="00D03A88"/>
    <w:p w:rsidR="00D03A88" w:rsidRDefault="00D03A88"/>
    <w:tbl>
      <w:tblPr>
        <w:tblW w:w="9380" w:type="dxa"/>
        <w:tblInd w:w="108" w:type="dxa"/>
        <w:tblLook w:val="04A0" w:firstRow="1" w:lastRow="0" w:firstColumn="1" w:lastColumn="0" w:noHBand="0" w:noVBand="1"/>
      </w:tblPr>
      <w:tblGrid>
        <w:gridCol w:w="762"/>
        <w:gridCol w:w="5740"/>
        <w:gridCol w:w="1102"/>
        <w:gridCol w:w="1776"/>
      </w:tblGrid>
      <w:tr w:rsidR="00D03A88" w:rsidRPr="00D03A88" w:rsidTr="00D03A88">
        <w:trPr>
          <w:trHeight w:val="780"/>
        </w:trPr>
        <w:tc>
          <w:tcPr>
            <w:tcW w:w="766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03A88" w:rsidRPr="00D03A88" w:rsidTr="00D03A88">
        <w:trPr>
          <w:trHeight w:val="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D03A88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22</w:t>
            </w:r>
          </w:p>
        </w:tc>
      </w:tr>
      <w:tr w:rsidR="00D03A88" w:rsidRPr="00D03A88" w:rsidTr="00D03A88">
        <w:trPr>
          <w:trHeight w:val="360"/>
        </w:trPr>
        <w:tc>
          <w:tcPr>
            <w:tcW w:w="93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D03A88" w:rsidRPr="00D03A88" w:rsidTr="00D03A88">
        <w:trPr>
          <w:trHeight w:val="2025"/>
        </w:trPr>
        <w:tc>
          <w:tcPr>
            <w:tcW w:w="82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D03A88" w:rsidRPr="00D03A88" w:rsidTr="00D03A88">
        <w:trPr>
          <w:trHeight w:val="420"/>
        </w:trPr>
        <w:tc>
          <w:tcPr>
            <w:tcW w:w="82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D03A88" w:rsidRPr="00D03A88" w:rsidTr="00D03A88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D03A88" w:rsidRPr="00D03A88" w:rsidTr="00D03A88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сдачи годового бухгалтерского баланса в налоговые органы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24.03.2022</w:t>
            </w:r>
          </w:p>
        </w:tc>
      </w:tr>
      <w:tr w:rsidR="00D03A88" w:rsidRPr="00D03A88" w:rsidTr="00D03A88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Выручка от регулируемого вида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663,47</w:t>
            </w:r>
          </w:p>
        </w:tc>
      </w:tr>
      <w:tr w:rsidR="00D03A88" w:rsidRPr="00D03A88" w:rsidTr="00D03A88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2 571,49</w:t>
            </w:r>
          </w:p>
        </w:tc>
      </w:tr>
      <w:tr w:rsidR="00D03A88" w:rsidRPr="00D03A88" w:rsidTr="00D03A88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электрическую энергию (мощность), используемую в технологическом процессе: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147,71</w:t>
            </w:r>
          </w:p>
        </w:tc>
      </w:tr>
      <w:tr w:rsidR="00D03A88" w:rsidRPr="00D03A88" w:rsidTr="00D03A88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Средневзвешенная стоимость 1 кВт.ч (с учетом мощности)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4,15</w:t>
            </w:r>
          </w:p>
        </w:tc>
      </w:tr>
      <w:tr w:rsidR="00D03A88" w:rsidRPr="00D03A88" w:rsidTr="00D03A88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приобретения электрической энергии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кВт·ч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35,6020</w:t>
            </w:r>
          </w:p>
        </w:tc>
      </w:tr>
      <w:tr w:rsidR="00D03A88" w:rsidRPr="00D03A88" w:rsidTr="00D03A88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химические реагенты, используемые в технологическом процессе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1 598,76</w:t>
            </w:r>
          </w:p>
        </w:tc>
      </w:tr>
      <w:tr w:rsidR="00D03A88" w:rsidRPr="00D03A88" w:rsidTr="00D03A88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1 228,00</w:t>
            </w:r>
          </w:p>
        </w:tc>
      </w:tr>
      <w:tr w:rsidR="00D03A88" w:rsidRPr="00D03A88" w:rsidTr="00D03A88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370,76</w:t>
            </w:r>
          </w:p>
        </w:tc>
      </w:tr>
      <w:tr w:rsidR="00D03A88" w:rsidRPr="00D03A88" w:rsidTr="00D03A88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и отчисления на социальные нужды административно-управленческого персонала,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493,63</w:t>
            </w:r>
          </w:p>
        </w:tc>
      </w:tr>
      <w:tr w:rsidR="00D03A88" w:rsidRPr="00D03A88" w:rsidTr="00D03A88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379,13</w:t>
            </w:r>
          </w:p>
        </w:tc>
      </w:tr>
      <w:tr w:rsidR="00D03A88" w:rsidRPr="00D03A88" w:rsidTr="00D03A88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административно-управленческого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114,50</w:t>
            </w:r>
          </w:p>
        </w:tc>
      </w:tr>
      <w:tr w:rsidR="00D03A88" w:rsidRPr="00D03A88" w:rsidTr="00D03A88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амортизацию основных производственных средств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106,70</w:t>
            </w:r>
          </w:p>
        </w:tc>
      </w:tr>
      <w:tr w:rsidR="00D03A88" w:rsidRPr="00D03A88" w:rsidTr="00D03A88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3.7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Общепроизводственные расходы,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173,70</w:t>
            </w:r>
          </w:p>
        </w:tc>
      </w:tr>
      <w:tr w:rsidR="00D03A88" w:rsidRPr="00D03A88" w:rsidTr="00D03A88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173,70</w:t>
            </w:r>
          </w:p>
        </w:tc>
      </w:tr>
      <w:tr w:rsidR="00D03A88" w:rsidRPr="00D03A88" w:rsidTr="00D03A88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Общехозяйственные расходы,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450"/>
        </w:trPr>
        <w:tc>
          <w:tcPr>
            <w:tcW w:w="820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и текущий ремонт основных производственных средств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2" w:name="RANGE!G38"/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  <w:bookmarkEnd w:id="22"/>
          </w:p>
        </w:tc>
      </w:tr>
      <w:tr w:rsidR="00D03A88" w:rsidRPr="00D03A88" w:rsidTr="00D03A88">
        <w:trPr>
          <w:trHeight w:val="900"/>
        </w:trPr>
        <w:tc>
          <w:tcPr>
            <w:tcW w:w="820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D03A88" w:rsidRPr="00D03A88" w:rsidTr="00D03A88">
        <w:trPr>
          <w:trHeight w:val="675"/>
        </w:trPr>
        <w:tc>
          <w:tcPr>
            <w:tcW w:w="820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3" w:name="RANGE!G40"/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  <w:bookmarkEnd w:id="23"/>
          </w:p>
        </w:tc>
      </w:tr>
      <w:tr w:rsidR="00D03A88" w:rsidRPr="00D03A88" w:rsidTr="00D03A88">
        <w:trPr>
          <w:trHeight w:val="900"/>
        </w:trPr>
        <w:tc>
          <w:tcPr>
            <w:tcW w:w="820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D03A88" w:rsidRPr="00D03A88" w:rsidTr="00D03A88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51,00</w:t>
            </w:r>
          </w:p>
        </w:tc>
      </w:tr>
      <w:tr w:rsidR="00D03A88" w:rsidRPr="00D03A88" w:rsidTr="00D03A88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контроль качества воды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51,00</w:t>
            </w:r>
          </w:p>
        </w:tc>
      </w:tr>
      <w:tr w:rsidR="00D03A88" w:rsidRPr="00D03A88" w:rsidTr="00D03A88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24" w:name="RANGE!E46"/>
            <w:r w:rsidRPr="00D03A88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прочие расходы</w:t>
            </w:r>
            <w:bookmarkEnd w:id="24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D03A88" w:rsidRPr="00D03A88" w:rsidTr="00D03A88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-1 908,03</w:t>
            </w:r>
          </w:p>
        </w:tc>
      </w:tr>
      <w:tr w:rsidR="00D03A88" w:rsidRPr="00D03A88" w:rsidTr="00D03A88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вывода в эксплуатацию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переоценки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D03A88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  <w:tr w:rsidR="00D03A88" w:rsidRPr="00D03A88" w:rsidTr="00D03A88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поднятой воды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6,4640</w:t>
            </w:r>
          </w:p>
        </w:tc>
      </w:tr>
      <w:tr w:rsidR="00D03A88" w:rsidRPr="00D03A88" w:rsidTr="00D03A88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покупной воды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D03A88" w:rsidRPr="00D03A88" w:rsidTr="00D03A88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D03A88" w:rsidRPr="00D03A88" w:rsidTr="00D03A88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6,4640</w:t>
            </w:r>
          </w:p>
        </w:tc>
      </w:tr>
      <w:tr w:rsidR="00D03A88" w:rsidRPr="00D03A88" w:rsidTr="00D03A88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определенный по приборам учета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3,1810</w:t>
            </w:r>
          </w:p>
        </w:tc>
      </w:tr>
      <w:tr w:rsidR="00D03A88" w:rsidRPr="00D03A88" w:rsidTr="00D03A88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определенный расчетным путем (по нормативам потребления)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3,2830</w:t>
            </w:r>
          </w:p>
        </w:tc>
      </w:tr>
      <w:tr w:rsidR="00D03A88" w:rsidRPr="00D03A88" w:rsidTr="00D03A88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Потери воды в сетях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5,00</w:t>
            </w:r>
          </w:p>
        </w:tc>
      </w:tr>
      <w:tr w:rsidR="00D03A88" w:rsidRPr="00D03A88" w:rsidTr="00D03A88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Удельный расход электроэнергии на подачу воды в сеть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кВт·ч или тыс. куб.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5,5077</w:t>
            </w:r>
          </w:p>
        </w:tc>
      </w:tr>
      <w:tr w:rsidR="00D03A88" w:rsidRPr="00D03A88" w:rsidTr="00D03A88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 воды на собственные нужды,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 воды на хозяйственно-бытовые нужды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Показатель использования производственных объектов,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</w:tbl>
    <w:p w:rsidR="00D03A88" w:rsidRDefault="00D03A88"/>
    <w:p w:rsidR="00D03A88" w:rsidRDefault="00D03A88"/>
    <w:p w:rsidR="00D03A88" w:rsidRDefault="00D03A88"/>
    <w:p w:rsidR="00D03A88" w:rsidRDefault="00D03A88"/>
    <w:p w:rsidR="00D03A88" w:rsidRDefault="00D03A88"/>
    <w:p w:rsidR="00D03A88" w:rsidRDefault="00D03A88"/>
    <w:p w:rsidR="00D03A88" w:rsidRDefault="00D03A88"/>
    <w:p w:rsidR="00D03A88" w:rsidRDefault="00D03A88"/>
    <w:p w:rsidR="00D03A88" w:rsidRDefault="00D03A88"/>
    <w:p w:rsidR="00D03A88" w:rsidRDefault="00D03A88"/>
    <w:p w:rsidR="00D03A88" w:rsidRDefault="00D03A88"/>
    <w:p w:rsidR="00D03A88" w:rsidRDefault="00D03A88"/>
    <w:p w:rsidR="00D03A88" w:rsidRDefault="00D03A88"/>
    <w:p w:rsidR="00D03A88" w:rsidRDefault="00D03A88"/>
    <w:p w:rsidR="00D03A88" w:rsidRDefault="00D03A88"/>
    <w:p w:rsidR="00D03A88" w:rsidRDefault="00D03A88"/>
    <w:p w:rsidR="00D03A88" w:rsidRDefault="00D03A88"/>
    <w:p w:rsidR="00D03A88" w:rsidRDefault="00D03A88"/>
    <w:p w:rsidR="00D03A88" w:rsidRDefault="00D03A88"/>
    <w:p w:rsidR="00D03A88" w:rsidRDefault="00D03A88"/>
    <w:p w:rsidR="00D03A88" w:rsidRDefault="00D03A88"/>
    <w:p w:rsidR="00D03A88" w:rsidRDefault="00D03A88"/>
    <w:p w:rsidR="00D03A88" w:rsidRDefault="00D03A88"/>
    <w:tbl>
      <w:tblPr>
        <w:tblW w:w="10240" w:type="dxa"/>
        <w:tblInd w:w="108" w:type="dxa"/>
        <w:tblLook w:val="04A0" w:firstRow="1" w:lastRow="0" w:firstColumn="1" w:lastColumn="0" w:noHBand="0" w:noVBand="1"/>
      </w:tblPr>
      <w:tblGrid>
        <w:gridCol w:w="620"/>
        <w:gridCol w:w="2306"/>
        <w:gridCol w:w="1102"/>
        <w:gridCol w:w="6212"/>
      </w:tblGrid>
      <w:tr w:rsidR="00D03A88" w:rsidRPr="00D03A88" w:rsidTr="00D03A88">
        <w:trPr>
          <w:trHeight w:val="522"/>
        </w:trPr>
        <w:tc>
          <w:tcPr>
            <w:tcW w:w="423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      </w: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03A88" w:rsidRPr="00D03A88" w:rsidTr="00D03A88">
        <w:trPr>
          <w:trHeight w:val="6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D03A88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22</w:t>
            </w:r>
          </w:p>
        </w:tc>
      </w:tr>
      <w:tr w:rsidR="00D03A88" w:rsidRPr="00D03A88" w:rsidTr="00D03A88">
        <w:trPr>
          <w:trHeight w:val="225"/>
        </w:trPr>
        <w:tc>
          <w:tcPr>
            <w:tcW w:w="102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D03A88" w:rsidRPr="00D03A88" w:rsidTr="00D03A88">
        <w:trPr>
          <w:trHeight w:val="2025"/>
        </w:trPr>
        <w:tc>
          <w:tcPr>
            <w:tcW w:w="46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D03A88" w:rsidRPr="00D03A88" w:rsidTr="00D03A88">
        <w:trPr>
          <w:trHeight w:val="225"/>
        </w:trPr>
        <w:tc>
          <w:tcPr>
            <w:tcW w:w="46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D03A88" w:rsidRPr="00D03A88" w:rsidTr="00D03A88">
        <w:trPr>
          <w:trHeight w:val="21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D03A88" w:rsidRPr="00D03A88" w:rsidTr="00D03A88">
        <w:trPr>
          <w:trHeight w:val="450"/>
        </w:trPr>
        <w:tc>
          <w:tcPr>
            <w:tcW w:w="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аварий на системах холодного водоснабжения</w:t>
            </w:r>
          </w:p>
        </w:tc>
        <w:tc>
          <w:tcPr>
            <w:tcW w:w="9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 на км</w:t>
            </w:r>
          </w:p>
        </w:tc>
        <w:tc>
          <w:tcPr>
            <w:tcW w:w="60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D03A88" w:rsidRPr="00D03A88" w:rsidTr="00D03A88">
        <w:trPr>
          <w:trHeight w:val="450"/>
        </w:trPr>
        <w:tc>
          <w:tcPr>
            <w:tcW w:w="4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9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450"/>
        </w:trPr>
        <w:tc>
          <w:tcPr>
            <w:tcW w:w="4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срок действия ограничений подачи холодной воды по графику для ограничений сроком менее 24 часов </w:t>
            </w:r>
          </w:p>
        </w:tc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450"/>
        </w:trPr>
        <w:tc>
          <w:tcPr>
            <w:tcW w:w="4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450"/>
        </w:trPr>
        <w:tc>
          <w:tcPr>
            <w:tcW w:w="4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i/>
                <w:iCs/>
                <w:color w:val="C0C0C0"/>
                <w:sz w:val="18"/>
                <w:szCs w:val="18"/>
                <w:lang w:eastAsia="ru-RU"/>
              </w:rPr>
            </w:pPr>
            <w:bookmarkStart w:id="25" w:name="RANGE!G17"/>
            <w:bookmarkStart w:id="26" w:name="RANGE!G7"/>
            <w:bookmarkEnd w:id="26"/>
            <w:r w:rsidRPr="00D03A88">
              <w:rPr>
                <w:rFonts w:ascii="Tahoma" w:eastAsia="Times New Roman" w:hAnsi="Tahoma" w:cs="Tahoma"/>
                <w:i/>
                <w:iCs/>
                <w:color w:val="C0C0C0"/>
                <w:sz w:val="18"/>
                <w:szCs w:val="18"/>
                <w:lang w:eastAsia="ru-RU"/>
              </w:rPr>
              <w:t> </w:t>
            </w:r>
            <w:bookmarkEnd w:id="25"/>
          </w:p>
        </w:tc>
      </w:tr>
      <w:tr w:rsidR="00D03A88" w:rsidRPr="00D03A88" w:rsidTr="00D03A88">
        <w:trPr>
          <w:trHeight w:val="675"/>
        </w:trPr>
        <w:tc>
          <w:tcPr>
            <w:tcW w:w="4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0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675"/>
        </w:trPr>
        <w:tc>
          <w:tcPr>
            <w:tcW w:w="4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3.2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0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450"/>
        </w:trPr>
        <w:tc>
          <w:tcPr>
            <w:tcW w:w="4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качества воды, в том числе по следующим показателям:</w:t>
            </w:r>
          </w:p>
        </w:tc>
        <w:tc>
          <w:tcPr>
            <w:tcW w:w="9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10,00</w:t>
            </w:r>
          </w:p>
        </w:tc>
      </w:tr>
      <w:tr w:rsidR="00D03A88" w:rsidRPr="00D03A88" w:rsidTr="00D03A88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10,00</w:t>
            </w:r>
          </w:p>
        </w:tc>
      </w:tr>
      <w:tr w:rsidR="00D03A88" w:rsidRPr="00D03A88" w:rsidTr="00D03A88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общий, в том числе:</w:t>
            </w:r>
          </w:p>
        </w:tc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общие колиформные бактерии</w:t>
            </w:r>
          </w:p>
        </w:tc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10,00</w:t>
            </w:r>
          </w:p>
        </w:tc>
      </w:tr>
      <w:tr w:rsidR="00D03A88" w:rsidRPr="00D03A88" w:rsidTr="00D03A88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 колиформные бактерии</w:t>
            </w:r>
          </w:p>
        </w:tc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10,00</w:t>
            </w:r>
            <w:bookmarkStart w:id="27" w:name="_GoBack"/>
            <w:bookmarkEnd w:id="27"/>
          </w:p>
        </w:tc>
      </w:tr>
      <w:tr w:rsidR="00D03A88" w:rsidRPr="00D03A88" w:rsidTr="00D03A88">
        <w:trPr>
          <w:trHeight w:val="675"/>
        </w:trPr>
        <w:tc>
          <w:tcPr>
            <w:tcW w:w="4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общий, в том числе:</w:t>
            </w:r>
          </w:p>
        </w:tc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общие колиформные бактерии</w:t>
            </w:r>
          </w:p>
        </w:tc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03A88" w:rsidRPr="00D03A88" w:rsidTr="00D03A88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 колиформные бактерии</w:t>
            </w:r>
          </w:p>
        </w:tc>
        <w:tc>
          <w:tcPr>
            <w:tcW w:w="9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03A88" w:rsidRPr="00D03A88" w:rsidTr="00D03A88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исполненных в срок договоров о подключении</w:t>
            </w:r>
          </w:p>
        </w:tc>
        <w:tc>
          <w:tcPr>
            <w:tcW w:w="9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0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дн.</w:t>
            </w:r>
          </w:p>
        </w:tc>
        <w:tc>
          <w:tcPr>
            <w:tcW w:w="60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03A88" w:rsidRPr="00D03A88" w:rsidTr="00D03A88">
        <w:trPr>
          <w:trHeight w:val="675"/>
        </w:trPr>
        <w:tc>
          <w:tcPr>
            <w:tcW w:w="4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hyperlink r:id="rId4" w:anchor="RANGE!G38" w:tooltip="Кликните по гиперссылке, чтобы перейти по гиперссылке или отредактировать её" w:history="1">
              <w:r w:rsidRPr="00D03A88">
                <w:rPr>
                  <w:rFonts w:ascii="Tahoma" w:eastAsia="Times New Roman" w:hAnsi="Tahoma" w:cs="Tahoma"/>
                  <w:color w:val="333399"/>
                  <w:sz w:val="18"/>
                  <w:szCs w:val="18"/>
                  <w:u w:val="single"/>
                  <w:lang w:eastAsia="ru-RU"/>
                </w:rPr>
                <w:t>https://portal.eias.ru/Portal/DownloadPage.aspx?type=12&amp;guid=2d56f8b6-6e25-42eb-b13d-fe1843977e38</w:t>
              </w:r>
            </w:hyperlink>
          </w:p>
        </w:tc>
      </w:tr>
      <w:tr w:rsidR="00D03A88" w:rsidRPr="00D03A88" w:rsidTr="00D03A88">
        <w:trPr>
          <w:trHeight w:val="900"/>
        </w:trPr>
        <w:tc>
          <w:tcPr>
            <w:tcW w:w="4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 фактических значениях показателей технико-экономического состояния </w:t>
            </w: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3A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x</w:t>
            </w:r>
          </w:p>
        </w:tc>
        <w:bookmarkStart w:id="28" w:name="RANGE!G39"/>
        <w:tc>
          <w:tcPr>
            <w:tcW w:w="600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03A88" w:rsidRPr="00D03A88" w:rsidRDefault="00D03A88" w:rsidP="00D03A88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D03A88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D03A88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"file:///D:\\Для%20переустановки\\Зубакова\\Экспертиза%20тарифов%20Масляногорск\\Раскрытие%20информации\\2021%20год\\FAS.JKH.OPEN.INFO.BALANCE.HVS(v2.0).xlsb" \l "RANGE!G39" \o "Кликните по гиперссылке, чтобы перейти по гиперссылке или отредактировать её" </w:instrText>
            </w:r>
            <w:r w:rsidRPr="00D03A88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D03A88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t>https://portal.eias.ru/Portal/DownloadPage.aspx?type=12&amp;guid=2d56f8b6-6e25-42eb-b13d-fe1843977e38</w:t>
            </w:r>
            <w:r w:rsidRPr="00D03A88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28"/>
          </w:p>
        </w:tc>
      </w:tr>
    </w:tbl>
    <w:p w:rsidR="00D03A88" w:rsidRDefault="00D03A88"/>
    <w:p w:rsidR="00D03A88" w:rsidRDefault="00D03A88"/>
    <w:p w:rsidR="00D03A88" w:rsidRDefault="00D03A88"/>
    <w:p w:rsidR="00D03A88" w:rsidRDefault="00D03A88"/>
    <w:p w:rsidR="00D03A88" w:rsidRDefault="00D03A88"/>
    <w:p w:rsidR="00D03A88" w:rsidRDefault="00D03A88"/>
    <w:p w:rsidR="00D03A88" w:rsidRDefault="00D03A88"/>
    <w:p w:rsidR="00D03A88" w:rsidRDefault="00D03A88"/>
    <w:p w:rsidR="00D03A88" w:rsidRDefault="00D03A88"/>
    <w:sectPr w:rsidR="00D0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88"/>
    <w:rsid w:val="000E6293"/>
    <w:rsid w:val="00D0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B352"/>
  <w15:chartTrackingRefBased/>
  <w15:docId w15:val="{A96A92F9-3426-43C6-B70C-9B188B99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A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3A88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44;&#1083;&#1103;%20&#1087;&#1077;&#1088;&#1077;&#1091;&#1089;&#1090;&#1072;&#1085;&#1086;&#1074;&#1082;&#1080;\&#1047;&#1091;&#1073;&#1072;&#1082;&#1086;&#1074;&#1072;\&#1069;&#1082;&#1089;&#1087;&#1077;&#1088;&#1090;&#1080;&#1079;&#1072;%20&#1090;&#1072;&#1088;&#1080;&#1092;&#1086;&#1074;%20&#1052;&#1072;&#1089;&#1083;&#1103;&#1085;&#1086;&#1075;&#1086;&#1088;&#1089;&#1082;\&#1056;&#1072;&#1089;&#1082;&#1088;&#1099;&#1090;&#1080;&#1077;%20&#1080;&#1085;&#1092;&#1086;&#1088;&#1084;&#1072;&#1094;&#1080;&#1080;\2021%20&#1075;&#1086;&#1076;\FAS.JKH.OPEN.INFO.BALANCE.HVS(v2.0).xls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1462</Words>
  <Characters>8334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Зубакова</dc:creator>
  <cp:keywords/>
  <dc:description/>
  <cp:lastModifiedBy>Зубакова</cp:lastModifiedBy>
  <cp:revision>1</cp:revision>
  <dcterms:created xsi:type="dcterms:W3CDTF">2022-04-20T03:29:00Z</dcterms:created>
  <dcterms:modified xsi:type="dcterms:W3CDTF">2022-04-20T03:34:00Z</dcterms:modified>
</cp:coreProperties>
</file>